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2D7EB" w14:textId="48EC1E9E" w:rsidR="00431B2F" w:rsidRPr="007914E6" w:rsidRDefault="00431B2F" w:rsidP="007914E6">
      <w:pPr>
        <w:spacing w:afterLines="120" w:after="288" w:line="276" w:lineRule="auto"/>
        <w:rPr>
          <w:rFonts w:ascii="Fidelity Sans 2" w:hAnsi="Fidelity Sans 2"/>
        </w:rPr>
      </w:pPr>
      <w:r w:rsidRPr="007914E6">
        <w:rPr>
          <w:rFonts w:ascii="Fidelity Sans 2" w:hAnsi="Fidelity Sans 2"/>
          <w:b/>
          <w:bCs/>
        </w:rPr>
        <w:t xml:space="preserve">Subject: </w:t>
      </w:r>
      <w:r w:rsidR="0030331A" w:rsidRPr="007914E6">
        <w:rPr>
          <w:rFonts w:ascii="Fidelity Sans 2" w:hAnsi="Fidelity Sans 2"/>
        </w:rPr>
        <w:t xml:space="preserve">Learn to turn your retirement savings into income </w:t>
      </w:r>
      <w:r w:rsidRPr="007914E6">
        <w:rPr>
          <w:rFonts w:ascii="Fidelity Sans 2" w:hAnsi="Fidelity Sans 2"/>
        </w:rPr>
        <w:t xml:space="preserve"> </w:t>
      </w:r>
    </w:p>
    <w:p w14:paraId="4B9B78D1" w14:textId="05F1FED3" w:rsidR="00431B2F" w:rsidRPr="007914E6" w:rsidRDefault="00431B2F" w:rsidP="007914E6">
      <w:pPr>
        <w:spacing w:afterLines="120" w:after="288" w:line="276" w:lineRule="auto"/>
        <w:rPr>
          <w:rFonts w:ascii="Fidelity Sans 2" w:hAnsi="Fidelity Sans 2"/>
        </w:rPr>
      </w:pPr>
      <w:r w:rsidRPr="007914E6">
        <w:rPr>
          <w:rFonts w:ascii="Fidelity Sans 2" w:hAnsi="Fidelity Sans 2"/>
          <w:noProof/>
        </w:rPr>
        <w:drawing>
          <wp:inline distT="0" distB="0" distL="0" distR="0" wp14:anchorId="00586400" wp14:editId="5A0111AA">
            <wp:extent cx="1485900" cy="371475"/>
            <wp:effectExtent l="0" t="0" r="0" b="9525"/>
            <wp:docPr id="118273095" name="Picture 2" descr="Fidelity Invest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delity Invest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371475"/>
                    </a:xfrm>
                    <a:prstGeom prst="rect">
                      <a:avLst/>
                    </a:prstGeom>
                    <a:noFill/>
                    <a:ln>
                      <a:noFill/>
                    </a:ln>
                  </pic:spPr>
                </pic:pic>
              </a:graphicData>
            </a:graphic>
          </wp:inline>
        </w:drawing>
      </w:r>
      <w:r w:rsidRPr="007914E6">
        <w:rPr>
          <w:rFonts w:ascii="Fidelity Sans 2" w:hAnsi="Fidelity Sans 2"/>
        </w:rPr>
        <w:t xml:space="preserve"> </w:t>
      </w:r>
      <w:r w:rsidRPr="007914E6">
        <w:rPr>
          <w:rFonts w:ascii="Fidelity Sans 2" w:hAnsi="Fidelity Sans 2"/>
        </w:rPr>
        <w:tab/>
      </w:r>
      <w:r w:rsidRPr="007914E6">
        <w:rPr>
          <w:rFonts w:ascii="Fidelity Sans 2" w:hAnsi="Fidelity Sans 2"/>
        </w:rPr>
        <w:tab/>
      </w:r>
      <w:r w:rsidRPr="007914E6">
        <w:rPr>
          <w:rFonts w:ascii="Fidelity Sans 2" w:hAnsi="Fidelity Sans 2"/>
        </w:rPr>
        <w:tab/>
      </w:r>
      <w:r w:rsidRPr="007914E6">
        <w:rPr>
          <w:rFonts w:ascii="Fidelity Sans 2" w:hAnsi="Fidelity Sans 2"/>
        </w:rPr>
        <w:tab/>
      </w:r>
      <w:r w:rsidRPr="007914E6">
        <w:rPr>
          <w:rFonts w:ascii="Fidelity Sans 2" w:hAnsi="Fidelity Sans 2"/>
        </w:rPr>
        <w:tab/>
      </w:r>
      <w:r w:rsidRPr="007914E6">
        <w:rPr>
          <w:rFonts w:ascii="Fidelity Sans 2" w:hAnsi="Fidelity Sans 2"/>
        </w:rPr>
        <w:tab/>
      </w:r>
      <w:r w:rsidRPr="007914E6">
        <w:rPr>
          <w:rFonts w:ascii="Fidelity Sans 2" w:hAnsi="Fidelity Sans 2"/>
        </w:rPr>
        <w:tab/>
      </w:r>
      <w:r w:rsidRPr="007914E6">
        <w:rPr>
          <w:rFonts w:ascii="Fidelity Sans 2" w:hAnsi="Fidelity Sans 2"/>
          <w:noProof/>
        </w:rPr>
        <w:drawing>
          <wp:inline distT="0" distB="0" distL="0" distR="0" wp14:anchorId="4CD49588" wp14:editId="1279708E">
            <wp:extent cx="1333500" cy="400050"/>
            <wp:effectExtent l="0" t="0" r="0" b="0"/>
            <wp:docPr id="2025163785" name="Picture 4" descr="A red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63785" name="Picture 4" descr="A red text on a white background&#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400050"/>
                    </a:xfrm>
                    <a:prstGeom prst="rect">
                      <a:avLst/>
                    </a:prstGeom>
                    <a:noFill/>
                    <a:ln>
                      <a:noFill/>
                    </a:ln>
                  </pic:spPr>
                </pic:pic>
              </a:graphicData>
            </a:graphic>
          </wp:inline>
        </w:drawing>
      </w:r>
    </w:p>
    <w:p w14:paraId="36383CC1" w14:textId="059F1FDF" w:rsidR="00431B2F" w:rsidRPr="007914E6" w:rsidRDefault="00431B2F" w:rsidP="007914E6">
      <w:pPr>
        <w:spacing w:after="0" w:line="276" w:lineRule="auto"/>
        <w:rPr>
          <w:rFonts w:ascii="Fidelity Sans 2" w:hAnsi="Fidelity Sans 2"/>
        </w:rPr>
      </w:pPr>
      <w:r w:rsidRPr="007914E6">
        <w:rPr>
          <w:rFonts w:ascii="Fidelity Sans 2" w:hAnsi="Fidelity Sans 2"/>
          <w:noProof/>
        </w:rPr>
        <w:drawing>
          <wp:inline distT="0" distB="0" distL="0" distR="0" wp14:anchorId="44965772" wp14:editId="6CB13B1F">
            <wp:extent cx="5943600" cy="2245359"/>
            <wp:effectExtent l="0" t="0" r="0" b="3175"/>
            <wp:docPr id="1528864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864120"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943600" cy="2245359"/>
                    </a:xfrm>
                    <a:prstGeom prst="rect">
                      <a:avLst/>
                    </a:prstGeom>
                  </pic:spPr>
                </pic:pic>
              </a:graphicData>
            </a:graphic>
          </wp:inline>
        </w:drawing>
      </w:r>
    </w:p>
    <w:p w14:paraId="400D8B07" w14:textId="06E0352D" w:rsidR="00431B2F" w:rsidRPr="007914E6" w:rsidRDefault="009E71C2" w:rsidP="007914E6">
      <w:pPr>
        <w:spacing w:afterLines="120" w:after="288" w:line="276" w:lineRule="auto"/>
        <w:rPr>
          <w:rFonts w:ascii="Fidelity Sans 2" w:hAnsi="Fidelity Sans 2"/>
        </w:rPr>
      </w:pPr>
      <w:r w:rsidRPr="007914E6">
        <w:rPr>
          <w:rFonts w:ascii="Fidelity Sans 2" w:hAnsi="Fidelity Sans 2"/>
          <w:noProof/>
        </w:rPr>
        <w:drawing>
          <wp:inline distT="0" distB="0" distL="0" distR="0" wp14:anchorId="432D9D43" wp14:editId="136A566A">
            <wp:extent cx="5942063" cy="1307254"/>
            <wp:effectExtent l="0" t="0" r="1905" b="7620"/>
            <wp:docPr id="619677372" name="Picture 1" descr="A green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677372" name="Picture 1" descr="A green sign with white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60633" cy="1311339"/>
                    </a:xfrm>
                    <a:prstGeom prst="rect">
                      <a:avLst/>
                    </a:prstGeom>
                  </pic:spPr>
                </pic:pic>
              </a:graphicData>
            </a:graphic>
          </wp:inline>
        </w:drawing>
      </w:r>
    </w:p>
    <w:p w14:paraId="38A1671C" w14:textId="3BD08210" w:rsidR="00D55A50" w:rsidRPr="007914E6" w:rsidRDefault="00D55A50" w:rsidP="007914E6">
      <w:pPr>
        <w:spacing w:afterLines="120" w:after="288" w:line="276" w:lineRule="auto"/>
        <w:rPr>
          <w:rFonts w:ascii="Fidelity Sans 2" w:hAnsi="Fidelity Sans 2"/>
        </w:rPr>
      </w:pPr>
      <w:r w:rsidRPr="007914E6">
        <w:rPr>
          <w:rFonts w:ascii="Fidelity Sans 2" w:hAnsi="Fidelity Sans 2"/>
          <w:b/>
          <w:bCs/>
        </w:rPr>
        <w:t>You’re doing the hard part. You’re saving.</w:t>
      </w:r>
      <w:r w:rsidRPr="007914E6">
        <w:rPr>
          <w:rFonts w:ascii="Fidelity Sans 2" w:hAnsi="Fidelity Sans 2"/>
        </w:rPr>
        <w:br/>
        <w:t>The Fidelity Automatic Withdrawals tool shows you how to turn your workplace savings into ongoing income. From modeling your options to creating a personal withdrawal strategy, it can help you figure out how long your money can last in retirement.</w:t>
      </w:r>
    </w:p>
    <w:p w14:paraId="7575D057" w14:textId="7422B16A" w:rsidR="00431B2F" w:rsidRPr="007914E6" w:rsidRDefault="00431B2F" w:rsidP="007914E6">
      <w:pPr>
        <w:spacing w:afterLines="120" w:after="288" w:line="276" w:lineRule="auto"/>
        <w:rPr>
          <w:rFonts w:ascii="Fidelity Sans 2" w:hAnsi="Fidelity Sans 2"/>
        </w:rPr>
      </w:pPr>
      <w:r w:rsidRPr="007914E6">
        <w:rPr>
          <w:rFonts w:ascii="Fidelity Sans 2" w:hAnsi="Fidelity Sans 2"/>
          <w:noProof/>
        </w:rPr>
        <w:drawing>
          <wp:inline distT="0" distB="0" distL="0" distR="0" wp14:anchorId="4A344332" wp14:editId="77613382">
            <wp:extent cx="1805769" cy="419946"/>
            <wp:effectExtent l="0" t="0" r="4445" b="0"/>
            <wp:docPr id="790510846" name="Picture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510846" name="Picture 2">
                      <a:hlinkClick r:id="rId9"/>
                    </pic:cNvPr>
                    <pic:cNvPicPr/>
                  </pic:nvPicPr>
                  <pic:blipFill>
                    <a:blip r:embed="rId10">
                      <a:extLst>
                        <a:ext uri="{28A0092B-C50C-407E-A947-70E740481C1C}">
                          <a14:useLocalDpi xmlns:a14="http://schemas.microsoft.com/office/drawing/2010/main" val="0"/>
                        </a:ext>
                      </a:extLst>
                    </a:blip>
                    <a:stretch>
                      <a:fillRect/>
                    </a:stretch>
                  </pic:blipFill>
                  <pic:spPr>
                    <a:xfrm>
                      <a:off x="0" y="0"/>
                      <a:ext cx="1811362" cy="421247"/>
                    </a:xfrm>
                    <a:prstGeom prst="rect">
                      <a:avLst/>
                    </a:prstGeom>
                  </pic:spPr>
                </pic:pic>
              </a:graphicData>
            </a:graphic>
          </wp:inline>
        </w:drawing>
      </w:r>
      <w:r w:rsidRPr="007914E6">
        <w:rPr>
          <w:rFonts w:ascii="Fidelity Sans 2" w:hAnsi="Fidelity Sans 2"/>
        </w:rPr>
        <w:t xml:space="preserve"> </w:t>
      </w:r>
    </w:p>
    <w:p w14:paraId="69E64512" w14:textId="556C43C3" w:rsidR="009E3D32" w:rsidRPr="007914E6" w:rsidRDefault="009E3D32" w:rsidP="007914E6">
      <w:pPr>
        <w:spacing w:afterLines="120" w:after="288" w:line="276" w:lineRule="auto"/>
        <w:rPr>
          <w:rFonts w:ascii="Fidelity Sans 2" w:hAnsi="Fidelity Sans 2"/>
        </w:rPr>
      </w:pPr>
      <w:r w:rsidRPr="007914E6">
        <w:rPr>
          <w:rFonts w:ascii="Fidelity Sans 2" w:hAnsi="Fidelity Sans 2"/>
        </w:rPr>
        <w:t xml:space="preserve">Use the tool to explore: </w:t>
      </w:r>
    </w:p>
    <w:p w14:paraId="33E0D1E7" w14:textId="2038B64B" w:rsidR="009E3D32" w:rsidRPr="007914E6" w:rsidRDefault="009E3D32" w:rsidP="007914E6">
      <w:pPr>
        <w:pStyle w:val="ListParagraph"/>
        <w:numPr>
          <w:ilvl w:val="0"/>
          <w:numId w:val="1"/>
        </w:numPr>
        <w:spacing w:afterLines="120" w:after="288" w:line="276" w:lineRule="auto"/>
        <w:rPr>
          <w:rFonts w:ascii="Fidelity Sans 2" w:hAnsi="Fidelity Sans 2"/>
        </w:rPr>
      </w:pPr>
      <w:r w:rsidRPr="007914E6">
        <w:rPr>
          <w:rFonts w:ascii="Fidelity Sans 2" w:hAnsi="Fidelity Sans 2"/>
        </w:rPr>
        <w:t xml:space="preserve">How much you might receive </w:t>
      </w:r>
    </w:p>
    <w:p w14:paraId="76FD8E41" w14:textId="3A5D2E9A" w:rsidR="009E3D32" w:rsidRPr="007914E6" w:rsidRDefault="009E3D32" w:rsidP="007914E6">
      <w:pPr>
        <w:pStyle w:val="ListParagraph"/>
        <w:numPr>
          <w:ilvl w:val="0"/>
          <w:numId w:val="1"/>
        </w:numPr>
        <w:spacing w:afterLines="120" w:after="288" w:line="276" w:lineRule="auto"/>
        <w:rPr>
          <w:rFonts w:ascii="Fidelity Sans 2" w:hAnsi="Fidelity Sans 2"/>
        </w:rPr>
      </w:pPr>
      <w:r w:rsidRPr="007914E6">
        <w:rPr>
          <w:rFonts w:ascii="Fidelity Sans 2" w:hAnsi="Fidelity Sans 2"/>
        </w:rPr>
        <w:t xml:space="preserve">How long </w:t>
      </w:r>
      <w:proofErr w:type="gramStart"/>
      <w:r w:rsidRPr="007914E6">
        <w:rPr>
          <w:rFonts w:ascii="Fidelity Sans 2" w:hAnsi="Fidelity Sans 2"/>
        </w:rPr>
        <w:t>your money could</w:t>
      </w:r>
      <w:proofErr w:type="gramEnd"/>
      <w:r w:rsidRPr="007914E6">
        <w:rPr>
          <w:rFonts w:ascii="Fidelity Sans 2" w:hAnsi="Fidelity Sans 2"/>
        </w:rPr>
        <w:t xml:space="preserve"> last </w:t>
      </w:r>
    </w:p>
    <w:p w14:paraId="3A2C62B9" w14:textId="3C1B14B9" w:rsidR="009E3D32" w:rsidRPr="007914E6" w:rsidRDefault="009E3D32" w:rsidP="007914E6">
      <w:pPr>
        <w:pStyle w:val="ListParagraph"/>
        <w:numPr>
          <w:ilvl w:val="0"/>
          <w:numId w:val="1"/>
        </w:numPr>
        <w:spacing w:afterLines="120" w:after="288" w:line="276" w:lineRule="auto"/>
        <w:rPr>
          <w:rFonts w:ascii="Fidelity Sans 2" w:hAnsi="Fidelity Sans 2"/>
        </w:rPr>
      </w:pPr>
      <w:r w:rsidRPr="007914E6">
        <w:rPr>
          <w:rFonts w:ascii="Fidelity Sans 2" w:hAnsi="Fidelity Sans 2"/>
        </w:rPr>
        <w:t xml:space="preserve">What the estimated remaining balance might be </w:t>
      </w:r>
    </w:p>
    <w:p w14:paraId="13E4ADAF" w14:textId="53836316" w:rsidR="009E3D32" w:rsidRPr="007914E6" w:rsidRDefault="00710189" w:rsidP="007914E6">
      <w:pPr>
        <w:spacing w:afterLines="120" w:after="288" w:line="276" w:lineRule="auto"/>
        <w:rPr>
          <w:rFonts w:ascii="Fidelity Sans 2" w:hAnsi="Fidelity Sans 2"/>
        </w:rPr>
      </w:pPr>
      <w:r w:rsidRPr="007914E6">
        <w:rPr>
          <w:rFonts w:ascii="Fidelity Sans 2" w:hAnsi="Fidelity Sans 2"/>
          <w:b/>
          <w:bCs/>
        </w:rPr>
        <w:t>Whether you’re ready now or preparing for the future, </w:t>
      </w:r>
      <w:hyperlink r:id="rId11" w:history="1">
        <w:r w:rsidRPr="007914E6">
          <w:rPr>
            <w:rStyle w:val="Hyperlink"/>
            <w:rFonts w:ascii="Fidelity Sans 2" w:hAnsi="Fidelity Sans 2"/>
            <w:b/>
            <w:bCs/>
          </w:rPr>
          <w:t>see how to plan automatic withdrawals</w:t>
        </w:r>
      </w:hyperlink>
      <w:r w:rsidRPr="007914E6">
        <w:rPr>
          <w:rFonts w:ascii="Fidelity Sans 2" w:hAnsi="Fidelity Sans 2"/>
          <w:b/>
          <w:bCs/>
        </w:rPr>
        <w:t> directly to your bank account—just like a paycheck.</w:t>
      </w:r>
    </w:p>
    <w:p w14:paraId="23CAFCAC" w14:textId="77777777" w:rsidR="00431B2F" w:rsidRPr="00431B2F" w:rsidRDefault="00431B2F" w:rsidP="00431B2F">
      <w:pPr>
        <w:rPr>
          <w:rFonts w:ascii="Aptos" w:eastAsia="Aptos" w:hAnsi="Aptos" w:cs="Times New Roman"/>
        </w:rPr>
      </w:pPr>
    </w:p>
    <w:p w14:paraId="3D4C1C70"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noProof/>
          <w:sz w:val="20"/>
          <w:szCs w:val="20"/>
        </w:rPr>
        <w:drawing>
          <wp:anchor distT="0" distB="0" distL="114300" distR="114300" simplePos="0" relativeHeight="251661312" behindDoc="1" locked="0" layoutInCell="1" allowOverlap="1" wp14:anchorId="3C3BDD16" wp14:editId="5F9D6E3B">
            <wp:simplePos x="0" y="0"/>
            <wp:positionH relativeFrom="margin">
              <wp:align>right</wp:align>
            </wp:positionH>
            <wp:positionV relativeFrom="paragraph">
              <wp:posOffset>29845</wp:posOffset>
            </wp:positionV>
            <wp:extent cx="1243965" cy="367665"/>
            <wp:effectExtent l="0" t="0" r="0" b="0"/>
            <wp:wrapTight wrapText="bothSides">
              <wp:wrapPolygon edited="0">
                <wp:start x="0" y="0"/>
                <wp:lineTo x="0" y="20145"/>
                <wp:lineTo x="21170" y="20145"/>
                <wp:lineTo x="21170" y="0"/>
                <wp:lineTo x="0" y="0"/>
              </wp:wrapPolygon>
            </wp:wrapTight>
            <wp:docPr id="851900933" name="Picture 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00933" name="Picture 9">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1243965" cy="367665"/>
                    </a:xfrm>
                    <a:prstGeom prst="rect">
                      <a:avLst/>
                    </a:prstGeom>
                  </pic:spPr>
                </pic:pic>
              </a:graphicData>
            </a:graphic>
          </wp:anchor>
        </w:drawing>
      </w:r>
      <w:r w:rsidRPr="00431B2F">
        <w:rPr>
          <w:rFonts w:ascii="Fidelity Sans 2" w:eastAsia="Aptos" w:hAnsi="Fidelity Sans 2" w:cs="Times New Roman"/>
          <w:noProof/>
          <w:sz w:val="20"/>
          <w:szCs w:val="20"/>
        </w:rPr>
        <w:drawing>
          <wp:anchor distT="0" distB="0" distL="114300" distR="114300" simplePos="0" relativeHeight="251660288" behindDoc="0" locked="0" layoutInCell="1" allowOverlap="1" wp14:anchorId="359AB416" wp14:editId="0AFB83FE">
            <wp:simplePos x="0" y="0"/>
            <wp:positionH relativeFrom="column">
              <wp:posOffset>3457575</wp:posOffset>
            </wp:positionH>
            <wp:positionV relativeFrom="paragraph">
              <wp:posOffset>36195</wp:posOffset>
            </wp:positionV>
            <wp:extent cx="1161415" cy="386715"/>
            <wp:effectExtent l="0" t="0" r="635" b="0"/>
            <wp:wrapSquare wrapText="bothSides"/>
            <wp:docPr id="871912828" name="Picture 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12828" name="Picture 8">
                      <a:hlinkClick r:id="rId14"/>
                    </pic:cNvPr>
                    <pic:cNvPicPr/>
                  </pic:nvPicPr>
                  <pic:blipFill>
                    <a:blip r:embed="rId15">
                      <a:extLst>
                        <a:ext uri="{28A0092B-C50C-407E-A947-70E740481C1C}">
                          <a14:useLocalDpi xmlns:a14="http://schemas.microsoft.com/office/drawing/2010/main" val="0"/>
                        </a:ext>
                      </a:extLst>
                    </a:blip>
                    <a:stretch>
                      <a:fillRect/>
                    </a:stretch>
                  </pic:blipFill>
                  <pic:spPr>
                    <a:xfrm>
                      <a:off x="0" y="0"/>
                      <a:ext cx="1161415" cy="386715"/>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noProof/>
        </w:rPr>
        <w:drawing>
          <wp:anchor distT="0" distB="0" distL="114300" distR="114300" simplePos="0" relativeHeight="251659264" behindDoc="0" locked="0" layoutInCell="1" allowOverlap="1" wp14:anchorId="6E034C23" wp14:editId="0F8CC2A5">
            <wp:simplePos x="0" y="0"/>
            <wp:positionH relativeFrom="margin">
              <wp:align>left</wp:align>
            </wp:positionH>
            <wp:positionV relativeFrom="paragraph">
              <wp:posOffset>7620</wp:posOffset>
            </wp:positionV>
            <wp:extent cx="679450" cy="679450"/>
            <wp:effectExtent l="0" t="0" r="6350" b="6350"/>
            <wp:wrapSquare wrapText="bothSides"/>
            <wp:docPr id="1836835454" name="Picture 7"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35454" name="Picture 7" descr="A qr code on a white background&#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sz w:val="20"/>
          <w:szCs w:val="20"/>
        </w:rPr>
        <w:t xml:space="preserve">The </w:t>
      </w:r>
      <w:r w:rsidRPr="00431B2F">
        <w:rPr>
          <w:rFonts w:ascii="Fidelity Sans 2" w:eastAsia="Aptos" w:hAnsi="Fidelity Sans 2" w:cs="Times New Roman"/>
          <w:b/>
          <w:bCs/>
          <w:sz w:val="20"/>
          <w:szCs w:val="20"/>
        </w:rPr>
        <w:t>NetBenefits® app</w:t>
      </w:r>
      <w:r w:rsidRPr="00431B2F">
        <w:rPr>
          <w:rFonts w:ascii="Fidelity Sans 2" w:eastAsia="Aptos" w:hAnsi="Fidelity Sans 2" w:cs="Times New Roman"/>
          <w:sz w:val="20"/>
          <w:szCs w:val="20"/>
        </w:rPr>
        <w:t xml:space="preserve"> gives you more ways to access and manage your employee benefits. Download now or </w:t>
      </w:r>
      <w:hyperlink r:id="rId17" w:history="1">
        <w:r w:rsidRPr="00431B2F">
          <w:rPr>
            <w:rFonts w:ascii="Fidelity Sans 2" w:eastAsia="Aptos" w:hAnsi="Fidelity Sans 2" w:cs="Times New Roman"/>
            <w:color w:val="467886"/>
            <w:sz w:val="20"/>
            <w:szCs w:val="20"/>
            <w:u w:val="single"/>
          </w:rPr>
          <w:t>open the app</w:t>
        </w:r>
      </w:hyperlink>
      <w:r w:rsidRPr="00431B2F">
        <w:rPr>
          <w:rFonts w:ascii="Fidelity Sans 2" w:eastAsia="Aptos" w:hAnsi="Fidelity Sans 2" w:cs="Times New Roman"/>
          <w:sz w:val="20"/>
          <w:szCs w:val="20"/>
        </w:rPr>
        <w:t>.</w:t>
      </w:r>
    </w:p>
    <w:p w14:paraId="2BEBD93E" w14:textId="77777777" w:rsidR="00431B2F" w:rsidRPr="00431B2F" w:rsidRDefault="00431B2F" w:rsidP="00431B2F">
      <w:pPr>
        <w:rPr>
          <w:rFonts w:ascii="Fidelity Sans" w:eastAsia="Aptos" w:hAnsi="Fidelity Sans" w:cs="Times New Roman"/>
          <w:sz w:val="20"/>
          <w:szCs w:val="20"/>
        </w:rPr>
      </w:pPr>
    </w:p>
    <w:p w14:paraId="11F9F039"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App Store is a registered service mark of Apple Inc. Google Play is a trademark of Google LLC.</w:t>
      </w:r>
    </w:p>
    <w:p w14:paraId="3C81863C" w14:textId="77777777" w:rsidR="00431B2F" w:rsidRDefault="00431B2F" w:rsidP="00431B2F">
      <w:pPr>
        <w:rPr>
          <w:rFonts w:ascii="Fidelity Sans 2" w:eastAsia="Aptos" w:hAnsi="Fidelity Sans 2" w:cs="Times New Roman"/>
          <w:sz w:val="20"/>
          <w:szCs w:val="20"/>
        </w:rPr>
      </w:pPr>
      <w:hyperlink r:id="rId18" w:history="1">
        <w:r w:rsidRPr="00431B2F">
          <w:rPr>
            <w:rFonts w:ascii="Fidelity Sans 2" w:eastAsia="Aptos" w:hAnsi="Fidelity Sans 2" w:cs="Times New Roman"/>
            <w:color w:val="467886"/>
            <w:sz w:val="20"/>
            <w:szCs w:val="20"/>
            <w:u w:val="single"/>
          </w:rPr>
          <w:t xml:space="preserve">Privacy policy </w:t>
        </w:r>
      </w:hyperlink>
      <w:r w:rsidRPr="00431B2F">
        <w:rPr>
          <w:rFonts w:ascii="Fidelity Sans 2" w:eastAsia="Aptos" w:hAnsi="Fidelity Sans 2" w:cs="Times New Roman"/>
          <w:sz w:val="20"/>
          <w:szCs w:val="20"/>
        </w:rPr>
        <w:t xml:space="preserve"> |  </w:t>
      </w:r>
      <w:hyperlink r:id="rId19" w:history="1">
        <w:r w:rsidRPr="00431B2F">
          <w:rPr>
            <w:rFonts w:ascii="Fidelity Sans 2" w:eastAsia="Aptos" w:hAnsi="Fidelity Sans 2" w:cs="Times New Roman"/>
            <w:color w:val="467886"/>
            <w:sz w:val="20"/>
            <w:szCs w:val="20"/>
            <w:u w:val="single"/>
          </w:rPr>
          <w:t xml:space="preserve">Terms of use </w:t>
        </w:r>
      </w:hyperlink>
      <w:r w:rsidRPr="00431B2F">
        <w:rPr>
          <w:rFonts w:ascii="Fidelity Sans 2" w:eastAsia="Aptos" w:hAnsi="Fidelity Sans 2" w:cs="Times New Roman"/>
          <w:sz w:val="20"/>
          <w:szCs w:val="20"/>
        </w:rPr>
        <w:t xml:space="preserve"> </w:t>
      </w:r>
    </w:p>
    <w:p w14:paraId="4B434245" w14:textId="77777777" w:rsidR="00CE2814" w:rsidRPr="00431B2F" w:rsidRDefault="00CE2814" w:rsidP="00431B2F">
      <w:pPr>
        <w:rPr>
          <w:rFonts w:ascii="Fidelity Sans 2" w:eastAsia="Aptos" w:hAnsi="Fidelity Sans 2" w:cs="Times New Roman"/>
          <w:sz w:val="20"/>
          <w:szCs w:val="20"/>
        </w:rPr>
      </w:pPr>
    </w:p>
    <w:p w14:paraId="6A0C32AE" w14:textId="7B6A9AA7" w:rsidR="00431B2F" w:rsidRPr="00431B2F" w:rsidRDefault="00CE2814" w:rsidP="00CE2814">
      <w:pPr>
        <w:rPr>
          <w:rFonts w:ascii="Fidelity Sans 2" w:eastAsia="Aptos" w:hAnsi="Fidelity Sans 2" w:cs="Times New Roman"/>
          <w:sz w:val="20"/>
          <w:szCs w:val="20"/>
        </w:rPr>
      </w:pPr>
      <w:r w:rsidRPr="00CE2814">
        <w:rPr>
          <w:rFonts w:ascii="Fidelity Sans 2" w:eastAsia="Aptos" w:hAnsi="Fidelity Sans 2" w:cs="Times New Roman"/>
          <w:b/>
          <w:bCs/>
          <w:sz w:val="20"/>
          <w:szCs w:val="20"/>
        </w:rPr>
        <w:t>Investing involves risk, including risk of loss.</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The information in this email is intended solely for the attention and use of the named addressee. This message or any part thereof must not be disclosed, copied, distributed, or retained by any person without authorization of the addressee.</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Please do not respond to this email. This mailbox is not monitored and you will not receive a response.</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NetBenefits, Fidelity, and the Fidelity Investments logo are registered service marks of FMR LLC.</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Fidelity Brokerage Services LLC, Member NYSE, </w:t>
      </w:r>
      <w:hyperlink r:id="rId20" w:tgtFrame="_blank" w:history="1">
        <w:r w:rsidRPr="00CE2814">
          <w:rPr>
            <w:rStyle w:val="Hyperlink"/>
            <w:rFonts w:ascii="Fidelity Sans 2" w:eastAsia="Aptos" w:hAnsi="Fidelity Sans 2" w:cs="Times New Roman"/>
            <w:sz w:val="20"/>
            <w:szCs w:val="20"/>
          </w:rPr>
          <w:t>SIPC</w:t>
        </w:r>
      </w:hyperlink>
      <w:r w:rsidRPr="00CE2814">
        <w:rPr>
          <w:rFonts w:ascii="Fidelity Sans 2" w:eastAsia="Aptos" w:hAnsi="Fidelity Sans 2" w:cs="Times New Roman"/>
          <w:sz w:val="20"/>
          <w:szCs w:val="20"/>
        </w:rPr>
        <w:t>, 900 Salem Street, Smithfield, RI 02917</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 2026 FMR LLC. All rights reserved.</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1239422.1.0</w:t>
      </w:r>
    </w:p>
    <w:sectPr w:rsidR="00431B2F" w:rsidRPr="00431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idelity Sans 2">
    <w:panose1 w:val="020B0504050501040104"/>
    <w:charset w:val="00"/>
    <w:family w:val="swiss"/>
    <w:pitch w:val="variable"/>
    <w:sig w:usb0="800000AF" w:usb1="5000204A" w:usb2="00000000" w:usb3="00000000" w:csb0="00000093" w:csb1="00000000"/>
  </w:font>
  <w:font w:name="Fidelity Sans">
    <w:panose1 w:val="020B0503030202020204"/>
    <w:charset w:val="00"/>
    <w:family w:val="swiss"/>
    <w:pitch w:val="variable"/>
    <w:sig w:usb0="A00000AF" w:usb1="5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6A5D88"/>
    <w:multiLevelType w:val="hybridMultilevel"/>
    <w:tmpl w:val="F412E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0422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B2F"/>
    <w:rsid w:val="000C3852"/>
    <w:rsid w:val="0030331A"/>
    <w:rsid w:val="00431B2F"/>
    <w:rsid w:val="0047402E"/>
    <w:rsid w:val="004A5A88"/>
    <w:rsid w:val="0054549A"/>
    <w:rsid w:val="00710189"/>
    <w:rsid w:val="007914E6"/>
    <w:rsid w:val="008476DE"/>
    <w:rsid w:val="009E3D32"/>
    <w:rsid w:val="009E71C2"/>
    <w:rsid w:val="00AF532D"/>
    <w:rsid w:val="00BB76B9"/>
    <w:rsid w:val="00CE2814"/>
    <w:rsid w:val="00D55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DC19"/>
  <w15:chartTrackingRefBased/>
  <w15:docId w15:val="{05196C25-42AC-46E7-B1D8-3ECA67996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B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B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B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B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B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B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B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B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B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B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B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B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B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B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B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B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B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B2F"/>
    <w:rPr>
      <w:rFonts w:eastAsiaTheme="majorEastAsia" w:cstheme="majorBidi"/>
      <w:color w:val="272727" w:themeColor="text1" w:themeTint="D8"/>
    </w:rPr>
  </w:style>
  <w:style w:type="paragraph" w:styleId="Title">
    <w:name w:val="Title"/>
    <w:basedOn w:val="Normal"/>
    <w:next w:val="Normal"/>
    <w:link w:val="TitleChar"/>
    <w:uiPriority w:val="10"/>
    <w:qFormat/>
    <w:rsid w:val="00431B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B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B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B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B2F"/>
    <w:pPr>
      <w:spacing w:before="160"/>
      <w:jc w:val="center"/>
    </w:pPr>
    <w:rPr>
      <w:i/>
      <w:iCs/>
      <w:color w:val="404040" w:themeColor="text1" w:themeTint="BF"/>
    </w:rPr>
  </w:style>
  <w:style w:type="character" w:customStyle="1" w:styleId="QuoteChar">
    <w:name w:val="Quote Char"/>
    <w:basedOn w:val="DefaultParagraphFont"/>
    <w:link w:val="Quote"/>
    <w:uiPriority w:val="29"/>
    <w:rsid w:val="00431B2F"/>
    <w:rPr>
      <w:i/>
      <w:iCs/>
      <w:color w:val="404040" w:themeColor="text1" w:themeTint="BF"/>
    </w:rPr>
  </w:style>
  <w:style w:type="paragraph" w:styleId="ListParagraph">
    <w:name w:val="List Paragraph"/>
    <w:basedOn w:val="Normal"/>
    <w:uiPriority w:val="34"/>
    <w:qFormat/>
    <w:rsid w:val="00431B2F"/>
    <w:pPr>
      <w:ind w:left="720"/>
      <w:contextualSpacing/>
    </w:pPr>
  </w:style>
  <w:style w:type="character" w:styleId="IntenseEmphasis">
    <w:name w:val="Intense Emphasis"/>
    <w:basedOn w:val="DefaultParagraphFont"/>
    <w:uiPriority w:val="21"/>
    <w:qFormat/>
    <w:rsid w:val="00431B2F"/>
    <w:rPr>
      <w:i/>
      <w:iCs/>
      <w:color w:val="0F4761" w:themeColor="accent1" w:themeShade="BF"/>
    </w:rPr>
  </w:style>
  <w:style w:type="paragraph" w:styleId="IntenseQuote">
    <w:name w:val="Intense Quote"/>
    <w:basedOn w:val="Normal"/>
    <w:next w:val="Normal"/>
    <w:link w:val="IntenseQuoteChar"/>
    <w:uiPriority w:val="30"/>
    <w:qFormat/>
    <w:rsid w:val="00431B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B2F"/>
    <w:rPr>
      <w:i/>
      <w:iCs/>
      <w:color w:val="0F4761" w:themeColor="accent1" w:themeShade="BF"/>
    </w:rPr>
  </w:style>
  <w:style w:type="character" w:styleId="IntenseReference">
    <w:name w:val="Intense Reference"/>
    <w:basedOn w:val="DefaultParagraphFont"/>
    <w:uiPriority w:val="32"/>
    <w:qFormat/>
    <w:rsid w:val="00431B2F"/>
    <w:rPr>
      <w:b/>
      <w:bCs/>
      <w:smallCaps/>
      <w:color w:val="0F4761" w:themeColor="accent1" w:themeShade="BF"/>
      <w:spacing w:val="5"/>
    </w:rPr>
  </w:style>
  <w:style w:type="character" w:styleId="Hyperlink">
    <w:name w:val="Hyperlink"/>
    <w:basedOn w:val="DefaultParagraphFont"/>
    <w:uiPriority w:val="99"/>
    <w:unhideWhenUsed/>
    <w:rsid w:val="00710189"/>
    <w:rPr>
      <w:color w:val="467886" w:themeColor="hyperlink"/>
      <w:u w:val="single"/>
    </w:rPr>
  </w:style>
  <w:style w:type="character" w:styleId="UnresolvedMention">
    <w:name w:val="Unresolved Mention"/>
    <w:basedOn w:val="DefaultParagraphFont"/>
    <w:uiPriority w:val="99"/>
    <w:semiHidden/>
    <w:unhideWhenUsed/>
    <w:rsid w:val="007101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hyperlink" Target="https://nb.fidelity.com/public/nb/default/resourceslibrary/articles/privacypolicy"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s://play.google.com/store/apps/details?id=com.fidelity.wi.activity&amp;hl=en_US&amp;gl=US&amp;pli=1" TargetMode="External"/><Relationship Id="rId17" Type="http://schemas.openxmlformats.org/officeDocument/2006/relationships/hyperlink" Target="https://netbenefits.app.link/MEC-Email-Footer-Lookup"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www.sipc.org/"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nb.fidelity.com/public/nb/default/home?option=autowithdrawal&amp;ccsource=em_nb_oft_awd1_q126" TargetMode="External"/><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5.png"/><Relationship Id="rId19" Type="http://schemas.openxmlformats.org/officeDocument/2006/relationships/hyperlink" Target="https://nb.fidelity.com/public/nb/default/resourceslibrary/articles/termsofuse" TargetMode="External"/><Relationship Id="rId4" Type="http://schemas.openxmlformats.org/officeDocument/2006/relationships/webSettings" Target="webSettings.xml"/><Relationship Id="rId9" Type="http://schemas.openxmlformats.org/officeDocument/2006/relationships/hyperlink" Target="https://nb.fidelity.com/public/nb/default/home?option=autowithdrawal&amp;ccsource=em_nb_oft_awd1_q126" TargetMode="External"/><Relationship Id="rId14" Type="http://schemas.openxmlformats.org/officeDocument/2006/relationships/hyperlink" Target="https://apps.apple.com/us/app/netbenefits/id640179084"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292</Words>
  <Characters>1666</Characters>
  <Application>Microsoft Office Word</Application>
  <DocSecurity>0</DocSecurity>
  <Lines>13</Lines>
  <Paragraphs>3</Paragraphs>
  <ScaleCrop>false</ScaleCrop>
  <Company>Fidelity Investments</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Sara</dc:creator>
  <cp:keywords/>
  <dc:description/>
  <cp:lastModifiedBy>Walker, Sara</cp:lastModifiedBy>
  <cp:revision>10</cp:revision>
  <dcterms:created xsi:type="dcterms:W3CDTF">2025-11-13T16:27:00Z</dcterms:created>
  <dcterms:modified xsi:type="dcterms:W3CDTF">2026-02-23T15:58:00Z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2025-11-13T16:35:12Z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be2b9660-c5c2-448e-8fd3-5e905cde9f85</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